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7" w:rsidRPr="007B66B7" w:rsidRDefault="007B66B7" w:rsidP="007B66B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Lucida Sans Unicode"/>
          <w:b/>
          <w:color w:val="000000"/>
          <w:sz w:val="20"/>
          <w:szCs w:val="20"/>
          <w:lang w:eastAsia="tr-TR"/>
        </w:rPr>
      </w:pPr>
      <w:r w:rsidRPr="007B66B7">
        <w:rPr>
          <w:rFonts w:ascii="Verdana" w:eastAsia="Times New Roman" w:hAnsi="Verdana" w:cs="Lucida Sans Unicode"/>
          <w:b/>
          <w:color w:val="000000"/>
          <w:sz w:val="20"/>
          <w:szCs w:val="20"/>
          <w:lang w:eastAsia="tr-TR"/>
        </w:rPr>
        <w:t>İşletmecilerin KEP Adresi Alma Zorunluluğuna İlişkin Duyuru</w:t>
      </w:r>
    </w:p>
    <w:p w:rsidR="007B66B7" w:rsidRPr="007B66B7" w:rsidRDefault="007B66B7" w:rsidP="007B66B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</w:pP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Bilindiği üzere; </w:t>
      </w:r>
      <w:proofErr w:type="gramStart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05/11/2008</w:t>
      </w:r>
      <w:proofErr w:type="gramEnd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 tarihli ve 5809 sayılı Elektronik Haberleşme Kanunu’nun “Tebligat” başlıklı 64’üncü maddesinin birinci fıkrasında yer alan “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>Bu Kanun uyarınca Bakanlık ve Kurum tarafından ilgililere yapılacak tebliğler 11/2/1959 tarihli ve 7201 sayılı Tebligat Kanunu hükümlerine göre yapılır.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” hükmü, 11/02/1959 tarihli ve 7201 sayılı Tebligat Kanunu’nun “Elektronik tebligat” başlıklı 7/</w:t>
      </w:r>
      <w:proofErr w:type="spellStart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a’ıncı</w:t>
      </w:r>
      <w:proofErr w:type="spellEnd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 maddesinin ikinci fıkrasında yer alan “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 xml:space="preserve">Anonim, </w:t>
      </w:r>
      <w:proofErr w:type="spellStart"/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>limited</w:t>
      </w:r>
      <w:proofErr w:type="spellEnd"/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 xml:space="preserve"> ve sermayesi paylara bölünmüş komandit şirketlere elektronik yolla tebligat yapılması zorunludur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.” hükmü ile 19/01/2013 tarihli ve 28533 sayılı Resmi </w:t>
      </w:r>
      <w:proofErr w:type="spellStart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Gazete’de</w:t>
      </w:r>
      <w:proofErr w:type="spellEnd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 yayımlanarak yürürlüğe giren Elektronik Tebligat Yönetmeliği’nin “Elektronik tebligat adresi edinme” başlıklı 6’ıncı maddesinin üçüncü fıkrasında yer alan “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>Elektronik tebligat hizmetinden yararlanacak muhatap, elektronik tebligata elverişli kayıtlı elektronik posta adresi edinir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.” ve “Elektronik tebligat hizmetinden yararlanma”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 xml:space="preserve"> 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başlıklı 7’nci maddesinin birinci fıkrasında yer alan 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 xml:space="preserve">“Anonim, </w:t>
      </w:r>
      <w:proofErr w:type="spellStart"/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>limited</w:t>
      </w:r>
      <w:proofErr w:type="spellEnd"/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 xml:space="preserve"> ve sermayesi paylara bölünmüş komandit şirketlere, elektronik yolla tebligat yapılması zorunludur.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” hükümleri uyarınca tebligatların elektronik yolla yapılabilmesi için anonim, </w:t>
      </w:r>
      <w:proofErr w:type="spellStart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limited</w:t>
      </w:r>
      <w:proofErr w:type="spellEnd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 ve sermayesi paylara bölünmüş komandit şirketlerin elektronik tebligata elverişli kayıtlı elektronik posta adresi edinmeleri zorunlu kılınmıştır.</w:t>
      </w:r>
    </w:p>
    <w:p w:rsidR="007B66B7" w:rsidRPr="007B66B7" w:rsidRDefault="007B66B7" w:rsidP="007B66B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</w:pP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Bu kapsamda; önümüzdeki günlerde Kurumumuz tarafından elektronik belge yönetim sistemine </w:t>
      </w:r>
      <w:proofErr w:type="gramStart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entegrasyon</w:t>
      </w:r>
      <w:proofErr w:type="gramEnd"/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 sağlanacak ve Kurumumuzca işletmecilere yapılacak tebligatlar elektronik yolla gerçekleştirilecek olup, şirketinizin herhangi bir hak kaybına uğramaması adına, Elektronik Tebligat Yönetmeliği’nin “Elektronik tebligat hizmetinden yararlanma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 xml:space="preserve">” 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>başlıklı 7’nci maddesinin ikinci fıkrasında yer alan “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>Kendilerine yalnızca elektronik yolla tebligat yapılması zorunlu olan muhatapların, tebligat çıkarmaya yetkili merciler nezdindeki işlemlerinde elektronik tebligat adreslerini bildirmeleri zorunludur.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” hükmü uyarınca </w:t>
      </w:r>
      <w:hyperlink r:id="rId5" w:history="1">
        <w:r w:rsidRPr="007B66B7">
          <w:rPr>
            <w:rFonts w:ascii="Tahoma" w:eastAsia="Times New Roman" w:hAnsi="Tahoma" w:cs="Tahoma"/>
            <w:b/>
            <w:bCs/>
            <w:color w:val="104E83"/>
            <w:sz w:val="20"/>
            <w:szCs w:val="20"/>
            <w:lang w:eastAsia="tr-TR"/>
          </w:rPr>
          <w:t>http://www.btk.gov.tr/bilgi_teknolojileri/kayitli_elektronik_posta/kephs.php</w:t>
        </w:r>
      </w:hyperlink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 bağlantısında da yer alan ve Kurumumuz tarafından</w:t>
      </w:r>
      <w:r w:rsidRPr="007B66B7">
        <w:rPr>
          <w:rFonts w:ascii="Verdana" w:eastAsia="Times New Roman" w:hAnsi="Verdana" w:cs="Lucida Sans Unicode"/>
          <w:i/>
          <w:iCs/>
          <w:color w:val="000000"/>
          <w:sz w:val="20"/>
          <w:szCs w:val="20"/>
          <w:lang w:eastAsia="tr-TR"/>
        </w:rPr>
        <w:t xml:space="preserve"> 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“kayıtlı elektronik posta hizmet sağlayıcısı” olarak yetkilendirilmiş şirketlerden temin edilecek </w:t>
      </w:r>
      <w:r w:rsidRPr="007B66B7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tr-TR"/>
        </w:rPr>
        <w:t>elektronik tebligata elverişli kayıtlı elektronik posta adresinin</w:t>
      </w: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 (Örneğin; …@...kep.tr) 22/11/2013 tarihine kadar Kurumumuza bildirilmesi gerekmektedir.</w:t>
      </w:r>
    </w:p>
    <w:p w:rsidR="007B66B7" w:rsidRPr="007B66B7" w:rsidRDefault="007B66B7" w:rsidP="007B66B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</w:pPr>
      <w:r w:rsidRPr="007B66B7">
        <w:rPr>
          <w:rFonts w:ascii="Verdana" w:eastAsia="Times New Roman" w:hAnsi="Verdana" w:cs="Lucida Sans Unicode"/>
          <w:color w:val="000000"/>
          <w:sz w:val="20"/>
          <w:szCs w:val="20"/>
          <w:lang w:eastAsia="tr-TR"/>
        </w:rPr>
        <w:t xml:space="preserve">İşletmecilerimize önemle duyurulur. </w:t>
      </w:r>
    </w:p>
    <w:p w:rsidR="007B66B7" w:rsidRPr="007B66B7" w:rsidRDefault="007B66B7" w:rsidP="007B66B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Lucida Sans Unicode" w:eastAsia="Times New Roman" w:hAnsi="Lucida Sans Unicode" w:cs="Tahoma"/>
          <w:b/>
          <w:bCs/>
          <w:color w:val="333333"/>
          <w:sz w:val="18"/>
          <w:szCs w:val="18"/>
          <w:lang w:eastAsia="tr-TR"/>
        </w:rPr>
      </w:pPr>
      <w:r w:rsidRPr="007B66B7"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  <w:lang w:eastAsia="tr-TR"/>
        </w:rPr>
        <w:t>Kayıtlı Elektronik Posta hesabı aşağıda isimleri listelenen Kayıtlı Elektronik Posta Hizmet Sağlayıcılarından temin edilebilir.</w:t>
      </w:r>
    </w:p>
    <w:p w:rsidR="007B66B7" w:rsidRPr="007B66B7" w:rsidRDefault="007B66B7" w:rsidP="007B66B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7B66B7" w:rsidRPr="007B66B7" w:rsidRDefault="007B66B7" w:rsidP="007B66B7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250"/>
        <w:gridCol w:w="1250"/>
        <w:gridCol w:w="1099"/>
        <w:gridCol w:w="1155"/>
        <w:gridCol w:w="2795"/>
      </w:tblGrid>
      <w:tr w:rsidR="007B66B7" w:rsidRPr="007B66B7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7B66B7" w:rsidRPr="007B66B7" w:rsidRDefault="007B66B7" w:rsidP="007B66B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 xml:space="preserve">KEPHS 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REMSP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7B66B7" w:rsidRPr="007B66B7" w:rsidRDefault="007B66B7" w:rsidP="007B66B7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Başvuru Tarihi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 xml:space="preserve">Application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7B66B7" w:rsidRPr="007B66B7" w:rsidRDefault="007B66B7" w:rsidP="007B66B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Faaliyete Başlama Tarihi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Commence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7B66B7" w:rsidRPr="007B66B7" w:rsidRDefault="007B66B7" w:rsidP="007B66B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Durum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Current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Status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7B66B7" w:rsidRPr="007B66B7" w:rsidRDefault="007B66B7" w:rsidP="007B66B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Alan Adı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Domain Name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7B66B7" w:rsidRPr="007B66B7" w:rsidRDefault="007B66B7" w:rsidP="007B66B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İletişim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br/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18"/>
                <w:szCs w:val="18"/>
                <w:lang w:eastAsia="tr-TR"/>
              </w:rPr>
              <w:t>Contact</w:t>
            </w:r>
            <w:proofErr w:type="spellEnd"/>
          </w:p>
        </w:tc>
      </w:tr>
      <w:tr w:rsidR="007B66B7" w:rsidRPr="007B66B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183AA2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hyperlink r:id="rId6" w:tooltip="Posta ve Telgraf Teş?kilatı Genel Müdürlüğü A.Ş." w:history="1"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Posta ve Telgraf Teşkilatı Genel Müdürlüğü (PTT)</w:t>
              </w:r>
            </w:hyperlink>
            <w:r w:rsidR="007B66B7"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="007B66B7"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lastRenderedPageBreak/>
              <w:t>---</w:t>
            </w:r>
            <w:r w:rsidR="007B66B7"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hyperlink r:id="rId7" w:tooltip="The General Directorate of Post and Telegraph Organization (PTT)" w:history="1"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The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General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Directorate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of Post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and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Telegraph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Organization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(PTT)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lastRenderedPageBreak/>
              <w:t>03/05/2012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10/09/2012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Faaliyetine devam etmektedir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lastRenderedPageBreak/>
              <w:t>In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operation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lastRenderedPageBreak/>
              <w:t>hs01.kep.tr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Adres: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 xml:space="preserve">Şehit Teğmen Kalmaz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Cad.No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: 2 06101 Ulus/ANKARA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lastRenderedPageBreak/>
              <w:t>Tel: +90 (312) 509 50 00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Faks:+90 (312) 309 51 44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hyperlink r:id="rId8" w:history="1">
              <w:r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http://www.ptt.gov.tr</w:t>
              </w:r>
            </w:hyperlink>
          </w:p>
        </w:tc>
      </w:tr>
      <w:tr w:rsidR="007B66B7" w:rsidRPr="007B66B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183AA2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hyperlink r:id="rId9" w:tooltip="TNB" w:history="1"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TNB Kayıtlı Elektronik Posta Hizmet Sağlayıcılığı ve Ticaret A.Ş.(TNB KEPHS)</w:t>
              </w:r>
            </w:hyperlink>
            <w:r w:rsidR="007B66B7"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---</w:t>
            </w:r>
            <w:r w:rsidR="007B66B7"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hyperlink r:id="rId10" w:tooltip="TNB" w:history="1"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TNB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Registered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Electronic Mail Service Provider &amp;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Trading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Inc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28/09/2012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28/12/2012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Faaliyetine devam etmektedir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In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operation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hs02.kep.tr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Adres: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Sögütözü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 xml:space="preserve"> Cad.No:4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Sögütözü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 xml:space="preserve"> / ANKARA, TÜ?RKIYE 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 xml:space="preserve">Tel: +90 (312) 218 81 00 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Faks: +90 (312) 218 81 09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hyperlink r:id="rId11" w:history="1">
              <w:r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http://www.tnbkep.com.tr/</w:t>
              </w:r>
            </w:hyperlink>
          </w:p>
        </w:tc>
      </w:tr>
      <w:tr w:rsidR="007B66B7" w:rsidRPr="007B66B7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AEC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183AA2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hyperlink r:id="rId12" w:tooltip="TÜ?RKKEP" w:history="1">
              <w:proofErr w:type="gram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TÜ?RKKEP</w:t>
              </w:r>
              <w:proofErr w:type="gram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Kayıtlı Elektronik Posta Hizmet Sağlayıcılığı ve Ticaret A.Ş.(TÜRKKEP)</w:t>
              </w:r>
            </w:hyperlink>
            <w:r w:rsidR="007B66B7"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---</w:t>
            </w:r>
            <w:r w:rsidR="007B66B7"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hyperlink r:id="rId13" w:tooltip="TÜ?RKKEP" w:history="1"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TÜRKKEP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Registered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 xml:space="preserve"> Electronic Mail Services </w:t>
              </w:r>
              <w:proofErr w:type="spellStart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Inc</w:t>
              </w:r>
              <w:proofErr w:type="spellEnd"/>
              <w:r w:rsidR="007B66B7"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AEC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28/11/2012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AEC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25/02/2013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AEC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Faaliyetine devam etmektedir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---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In</w:t>
            </w:r>
            <w:proofErr w:type="spellEnd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operation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AEC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hs03.kep.tr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AEC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6B7" w:rsidRPr="007B66B7" w:rsidRDefault="007B66B7" w:rsidP="007B66B7">
            <w:pPr>
              <w:spacing w:after="0" w:line="27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</w:pP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t>Adres: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 xml:space="preserve">19 Mayıs Mah. 19 Mayıs Cad.No:4 Nova-Baran Plaza Kat 18 34360 Şişli/İSTANBUL, TÜ?RKIYE 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 xml:space="preserve">Tel: +90 (212) 368 60 00 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  <w:t>Faks: +90 (212) 368 60 90</w:t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r w:rsidRPr="007B66B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tr-TR"/>
              </w:rPr>
              <w:br/>
            </w:r>
            <w:hyperlink r:id="rId14" w:history="1">
              <w:r w:rsidRPr="007B66B7">
                <w:rPr>
                  <w:rFonts w:ascii="Tahoma" w:eastAsia="Times New Roman" w:hAnsi="Tahoma" w:cs="Tahoma"/>
                  <w:b/>
                  <w:bCs/>
                  <w:color w:val="333333"/>
                  <w:sz w:val="18"/>
                  <w:szCs w:val="18"/>
                  <w:lang w:eastAsia="tr-TR"/>
                </w:rPr>
                <w:t>http://www.turkkep.com.tr/</w:t>
              </w:r>
            </w:hyperlink>
          </w:p>
        </w:tc>
      </w:tr>
    </w:tbl>
    <w:p w:rsidR="007B66B7" w:rsidRPr="007B66B7" w:rsidRDefault="007B66B7" w:rsidP="007B6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B6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Kaynak: </w:t>
      </w:r>
      <w:hyperlink r:id="rId15" w:history="1">
        <w:r w:rsidRPr="007B66B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www.btk.gov.tr</w:t>
        </w:r>
      </w:hyperlink>
    </w:p>
    <w:p w:rsidR="000675C0" w:rsidRDefault="000675C0"/>
    <w:sectPr w:rsidR="0006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7"/>
    <w:rsid w:val="000675C0"/>
    <w:rsid w:val="00183AA2"/>
    <w:rsid w:val="007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B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B66B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B66B7"/>
    <w:rPr>
      <w:rFonts w:ascii="Tahoma" w:hAnsi="Tahoma" w:cs="Tahoma" w:hint="default"/>
      <w:b/>
      <w:bCs/>
      <w:strike w:val="0"/>
      <w:dstrike w:val="0"/>
      <w:color w:val="104E8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B66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7B66B7"/>
    <w:rPr>
      <w:i/>
      <w:iCs/>
    </w:rPr>
  </w:style>
  <w:style w:type="character" w:customStyle="1" w:styleId="apple-converted-space">
    <w:name w:val="apple-converted-space"/>
    <w:basedOn w:val="VarsaylanParagrafYazTipi"/>
    <w:rsid w:val="007B66B7"/>
  </w:style>
  <w:style w:type="character" w:styleId="Gl">
    <w:name w:val="Strong"/>
    <w:basedOn w:val="VarsaylanParagrafYazTipi"/>
    <w:uiPriority w:val="22"/>
    <w:qFormat/>
    <w:rsid w:val="007B6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B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B66B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B66B7"/>
    <w:rPr>
      <w:rFonts w:ascii="Tahoma" w:hAnsi="Tahoma" w:cs="Tahoma" w:hint="default"/>
      <w:b/>
      <w:bCs/>
      <w:strike w:val="0"/>
      <w:dstrike w:val="0"/>
      <w:color w:val="104E8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B66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7B66B7"/>
    <w:rPr>
      <w:i/>
      <w:iCs/>
    </w:rPr>
  </w:style>
  <w:style w:type="character" w:customStyle="1" w:styleId="apple-converted-space">
    <w:name w:val="apple-converted-space"/>
    <w:basedOn w:val="VarsaylanParagrafYazTipi"/>
    <w:rsid w:val="007B66B7"/>
  </w:style>
  <w:style w:type="character" w:styleId="Gl">
    <w:name w:val="Strong"/>
    <w:basedOn w:val="VarsaylanParagrafYazTipi"/>
    <w:uiPriority w:val="22"/>
    <w:qFormat/>
    <w:rsid w:val="007B6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t.gov.tr/" TargetMode="External"/><Relationship Id="rId13" Type="http://schemas.openxmlformats.org/officeDocument/2006/relationships/hyperlink" Target="http://www.turkkep.com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t.gov.tr/" TargetMode="External"/><Relationship Id="rId12" Type="http://schemas.openxmlformats.org/officeDocument/2006/relationships/hyperlink" Target="http://www.turkkep.com.t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tt.gov.tr/" TargetMode="External"/><Relationship Id="rId11" Type="http://schemas.openxmlformats.org/officeDocument/2006/relationships/hyperlink" Target="http://www.tnbkep.com.tr/" TargetMode="External"/><Relationship Id="rId5" Type="http://schemas.openxmlformats.org/officeDocument/2006/relationships/hyperlink" Target="http://www.btk.gov.tr/bilgi_teknolojileri/kayitli_elektronik_posta/kephs.php" TargetMode="External"/><Relationship Id="rId15" Type="http://schemas.openxmlformats.org/officeDocument/2006/relationships/hyperlink" Target="http://www.btk.gov.tr" TargetMode="External"/><Relationship Id="rId10" Type="http://schemas.openxmlformats.org/officeDocument/2006/relationships/hyperlink" Target="http://www.tnbkep.com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bkep.com.tr/" TargetMode="External"/><Relationship Id="rId14" Type="http://schemas.openxmlformats.org/officeDocument/2006/relationships/hyperlink" Target="http://www.turkkep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</dc:creator>
  <cp:lastModifiedBy> </cp:lastModifiedBy>
  <cp:revision>2</cp:revision>
  <dcterms:created xsi:type="dcterms:W3CDTF">2013-11-12T08:48:00Z</dcterms:created>
  <dcterms:modified xsi:type="dcterms:W3CDTF">2013-11-12T08:48:00Z</dcterms:modified>
</cp:coreProperties>
</file>